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A1A" w:rsidRDefault="006B7A1A" w:rsidP="006B7A1A">
      <w:pPr>
        <w:jc w:val="center"/>
        <w:rPr>
          <w:b/>
          <w:sz w:val="24"/>
          <w:szCs w:val="24"/>
          <w:u w:val="single"/>
        </w:rPr>
      </w:pPr>
      <w:r>
        <w:rPr>
          <w:b/>
          <w:sz w:val="24"/>
          <w:szCs w:val="24"/>
          <w:u w:val="single"/>
        </w:rPr>
        <w:t>Introductie op de tweede T</w:t>
      </w:r>
      <w:r w:rsidR="00700C45">
        <w:rPr>
          <w:b/>
          <w:sz w:val="24"/>
          <w:szCs w:val="24"/>
          <w:u w:val="single"/>
        </w:rPr>
        <w:t>h</w:t>
      </w:r>
      <w:r>
        <w:rPr>
          <w:b/>
          <w:sz w:val="24"/>
          <w:szCs w:val="24"/>
          <w:u w:val="single"/>
        </w:rPr>
        <w:t xml:space="preserve">essalonicenzenbrief. </w:t>
      </w:r>
    </w:p>
    <w:p w:rsidR="00236733" w:rsidRDefault="00236733" w:rsidP="000753B4">
      <w:pPr>
        <w:rPr>
          <w:sz w:val="24"/>
          <w:szCs w:val="24"/>
        </w:rPr>
      </w:pPr>
    </w:p>
    <w:p w:rsidR="00236733" w:rsidRPr="00C93559" w:rsidRDefault="00C93559" w:rsidP="000753B4">
      <w:pPr>
        <w:rPr>
          <w:color w:val="0070C0"/>
          <w:sz w:val="24"/>
          <w:szCs w:val="24"/>
        </w:rPr>
      </w:pPr>
      <w:r w:rsidRPr="00C93559">
        <w:rPr>
          <w:color w:val="0070C0"/>
          <w:sz w:val="24"/>
          <w:szCs w:val="24"/>
          <w:u w:val="single"/>
        </w:rPr>
        <w:t>2Thess.1:1</w:t>
      </w:r>
      <w:r w:rsidRPr="00C93559">
        <w:rPr>
          <w:color w:val="0070C0"/>
          <w:sz w:val="24"/>
          <w:szCs w:val="24"/>
        </w:rPr>
        <w:t xml:space="preserve"> Paulus, Silvanus en Timotheüs aan de gemeente van de Thessaloni-cenzen, die in God, onze Vader</w:t>
      </w:r>
      <w:r>
        <w:rPr>
          <w:color w:val="0070C0"/>
          <w:sz w:val="24"/>
          <w:szCs w:val="24"/>
        </w:rPr>
        <w:t xml:space="preserve">, en de Heere Jezus Christus is. </w:t>
      </w:r>
    </w:p>
    <w:p w:rsidR="006B7A1A" w:rsidRPr="00F12027" w:rsidRDefault="00F12027" w:rsidP="000753B4">
      <w:pPr>
        <w:rPr>
          <w:color w:val="0070C0"/>
          <w:sz w:val="24"/>
          <w:szCs w:val="24"/>
        </w:rPr>
      </w:pPr>
      <w:r w:rsidRPr="00F12027">
        <w:rPr>
          <w:color w:val="0070C0"/>
          <w:sz w:val="24"/>
          <w:szCs w:val="24"/>
          <w:u w:val="single"/>
        </w:rPr>
        <w:t>2Thess.3:17</w:t>
      </w:r>
      <w:r w:rsidRPr="00F12027">
        <w:rPr>
          <w:color w:val="0070C0"/>
          <w:sz w:val="24"/>
          <w:szCs w:val="24"/>
        </w:rPr>
        <w:t xml:space="preserve"> Een eigenhandige groet van mij, Paulus. Dit is een teken in iedere brief. Zo schrijf ik. </w:t>
      </w:r>
    </w:p>
    <w:p w:rsidR="00F12027" w:rsidRDefault="00F12027" w:rsidP="000753B4">
      <w:pPr>
        <w:rPr>
          <w:sz w:val="24"/>
          <w:szCs w:val="24"/>
        </w:rPr>
      </w:pPr>
    </w:p>
    <w:p w:rsidR="0039185E" w:rsidRPr="0039185E" w:rsidRDefault="0039185E" w:rsidP="0039185E">
      <w:pPr>
        <w:jc w:val="center"/>
        <w:rPr>
          <w:b/>
          <w:sz w:val="24"/>
          <w:szCs w:val="24"/>
          <w:u w:val="single"/>
        </w:rPr>
      </w:pPr>
      <w:r w:rsidRPr="0039185E">
        <w:rPr>
          <w:b/>
          <w:sz w:val="24"/>
          <w:szCs w:val="24"/>
          <w:u w:val="single"/>
        </w:rPr>
        <w:t>Schrijver van de tweede T</w:t>
      </w:r>
      <w:r w:rsidR="007675EE">
        <w:rPr>
          <w:b/>
          <w:sz w:val="24"/>
          <w:szCs w:val="24"/>
          <w:u w:val="single"/>
        </w:rPr>
        <w:t>h</w:t>
      </w:r>
      <w:bookmarkStart w:id="0" w:name="_GoBack"/>
      <w:bookmarkEnd w:id="0"/>
      <w:r w:rsidRPr="0039185E">
        <w:rPr>
          <w:b/>
          <w:sz w:val="24"/>
          <w:szCs w:val="24"/>
          <w:u w:val="single"/>
        </w:rPr>
        <w:t>essalonicenzenbrief.</w:t>
      </w:r>
    </w:p>
    <w:p w:rsidR="0039185E" w:rsidRDefault="0039185E" w:rsidP="000753B4">
      <w:pPr>
        <w:rPr>
          <w:sz w:val="24"/>
          <w:szCs w:val="24"/>
        </w:rPr>
      </w:pPr>
    </w:p>
    <w:p w:rsidR="00C93559" w:rsidRDefault="0039185E" w:rsidP="000753B4">
      <w:pPr>
        <w:rPr>
          <w:sz w:val="24"/>
          <w:szCs w:val="24"/>
        </w:rPr>
      </w:pPr>
      <w:r>
        <w:rPr>
          <w:sz w:val="24"/>
          <w:szCs w:val="24"/>
        </w:rPr>
        <w:t>Deze tweede brief van Paulus aan de gemeente te Thessalonica heeft hij net als de eerste brief samen met Silvanus en Timoteus geschreven, niet lang nadat hij zijn eerste brief geschreven had. Vanuit Athene was Timoteus naar Thessalonica terug gestuurd (1Thess.3:3+5), omdat Paulus zich bezorgd maakte over de gemeente aldaar vanwege zijn korte verblijf van vier weken. Maar Timoteus kwam met zeer goed</w:t>
      </w:r>
      <w:r w:rsidR="009E3C87">
        <w:rPr>
          <w:sz w:val="24"/>
          <w:szCs w:val="24"/>
        </w:rPr>
        <w:t>e</w:t>
      </w:r>
      <w:r>
        <w:rPr>
          <w:sz w:val="24"/>
          <w:szCs w:val="24"/>
        </w:rPr>
        <w:t xml:space="preserve"> bericht</w:t>
      </w:r>
      <w:r w:rsidR="009E3C87">
        <w:rPr>
          <w:sz w:val="24"/>
          <w:szCs w:val="24"/>
        </w:rPr>
        <w:t>en</w:t>
      </w:r>
      <w:r>
        <w:rPr>
          <w:sz w:val="24"/>
          <w:szCs w:val="24"/>
        </w:rPr>
        <w:t xml:space="preserve"> terug (1Thess.3:6) bij Paulus, die toen inmiddels naar Korinthe was vertrokken (Hand.18:5). In Korinthe heeft hij zijn beide brieven aan de gemeente in Thessalonica geschreven, maar er staat niet vermeld wie deze beide brieven naar de gemeente in Thessalonica heeft gebracht; waarschijnlijk is dat Timoteus geweest.</w:t>
      </w:r>
    </w:p>
    <w:p w:rsidR="0039185E" w:rsidRDefault="0039185E" w:rsidP="000753B4">
      <w:pPr>
        <w:rPr>
          <w:sz w:val="24"/>
          <w:szCs w:val="24"/>
        </w:rPr>
      </w:pPr>
    </w:p>
    <w:p w:rsidR="0039185E" w:rsidRPr="0039185E" w:rsidRDefault="0039185E" w:rsidP="0039185E">
      <w:pPr>
        <w:jc w:val="center"/>
        <w:rPr>
          <w:b/>
          <w:sz w:val="24"/>
          <w:szCs w:val="24"/>
          <w:u w:val="single"/>
        </w:rPr>
      </w:pPr>
      <w:r w:rsidRPr="0039185E">
        <w:rPr>
          <w:b/>
          <w:sz w:val="24"/>
          <w:szCs w:val="24"/>
          <w:u w:val="single"/>
        </w:rPr>
        <w:t>Reden voor deze tweede brief.</w:t>
      </w:r>
    </w:p>
    <w:p w:rsidR="00C93559" w:rsidRDefault="00C93559" w:rsidP="000753B4">
      <w:pPr>
        <w:rPr>
          <w:sz w:val="24"/>
          <w:szCs w:val="24"/>
        </w:rPr>
      </w:pPr>
    </w:p>
    <w:p w:rsidR="0039185E" w:rsidRDefault="0039185E" w:rsidP="000753B4">
      <w:pPr>
        <w:rPr>
          <w:sz w:val="24"/>
          <w:szCs w:val="24"/>
        </w:rPr>
      </w:pPr>
      <w:r>
        <w:rPr>
          <w:sz w:val="24"/>
          <w:szCs w:val="24"/>
        </w:rPr>
        <w:t>Ervan uitgaande dat Timoteus de eerste brief van Paulus naar Thessalonica heeft gebracht, was dat inmiddels zijn derde bezoek aan de gemeente daar. Timoteus was samen met Paulus en Silas naar Thessalonica gegaan om daar het evangelie te verkondigen en een gemeente te stichten. Het tweede bezoek van Timoteus vond vanuit Athene plaats, waarna hij met goede berichten naar Paulus in Korinthe ging. Als reactie op de goede berichten schreef Paulus zijn eerste brief aan de gemeente, en in zijn eerste brief heeft Paulus heel uitvoerig over de tweede komst van Jezus gesproken, zie 1:3+10, 2:19, 3:13, 4:13-18, 5:1-11+</w:t>
      </w:r>
      <w:r w:rsidR="009E3C87">
        <w:rPr>
          <w:sz w:val="24"/>
          <w:szCs w:val="24"/>
        </w:rPr>
        <w:t>23. Dat leidde echter tot een overspannen reactie in de gemeente (2Thess.2:2), waardoor sommigen zelfs met hun dagelijkse werkzaamheden stopten (2Thess.3:6-1</w:t>
      </w:r>
      <w:r w:rsidR="00D265FE">
        <w:rPr>
          <w:sz w:val="24"/>
          <w:szCs w:val="24"/>
        </w:rPr>
        <w:t>5</w:t>
      </w:r>
      <w:r w:rsidR="009E3C87">
        <w:rPr>
          <w:sz w:val="24"/>
          <w:szCs w:val="24"/>
        </w:rPr>
        <w:t xml:space="preserve">). Paulus schreef zijn tweede brief om dit te corrigeren. Timoteus heeft waarschijnlijk ook deze tweede brief naar Thessalonica gebracht. </w:t>
      </w:r>
    </w:p>
    <w:p w:rsidR="0039185E" w:rsidRDefault="0039185E" w:rsidP="000753B4">
      <w:pPr>
        <w:rPr>
          <w:sz w:val="24"/>
          <w:szCs w:val="24"/>
        </w:rPr>
      </w:pPr>
    </w:p>
    <w:p w:rsidR="006B7A1A" w:rsidRPr="00BE0938" w:rsidRDefault="006B7A1A" w:rsidP="006B7A1A">
      <w:pPr>
        <w:jc w:val="center"/>
        <w:rPr>
          <w:b/>
          <w:sz w:val="24"/>
          <w:szCs w:val="24"/>
          <w:u w:val="single"/>
        </w:rPr>
      </w:pPr>
      <w:r w:rsidRPr="00BE0938">
        <w:rPr>
          <w:b/>
          <w:sz w:val="24"/>
          <w:szCs w:val="24"/>
          <w:u w:val="single"/>
        </w:rPr>
        <w:t xml:space="preserve">Overzicht van </w:t>
      </w:r>
      <w:r>
        <w:rPr>
          <w:b/>
          <w:sz w:val="24"/>
          <w:szCs w:val="24"/>
          <w:u w:val="single"/>
        </w:rPr>
        <w:t xml:space="preserve">de </w:t>
      </w:r>
      <w:r w:rsidR="009F64A4">
        <w:rPr>
          <w:b/>
          <w:sz w:val="24"/>
          <w:szCs w:val="24"/>
          <w:u w:val="single"/>
        </w:rPr>
        <w:t>tweede</w:t>
      </w:r>
      <w:r>
        <w:rPr>
          <w:b/>
          <w:sz w:val="24"/>
          <w:szCs w:val="24"/>
          <w:u w:val="single"/>
        </w:rPr>
        <w:t xml:space="preserve"> brief aan de</w:t>
      </w:r>
      <w:r w:rsidRPr="00BE0938">
        <w:rPr>
          <w:b/>
          <w:sz w:val="24"/>
          <w:szCs w:val="24"/>
          <w:u w:val="single"/>
        </w:rPr>
        <w:t xml:space="preserve"> Thessalonicenzen.</w:t>
      </w:r>
    </w:p>
    <w:p w:rsidR="006B7A1A" w:rsidRDefault="006B7A1A" w:rsidP="006B7A1A">
      <w:pPr>
        <w:rPr>
          <w:sz w:val="24"/>
          <w:szCs w:val="24"/>
        </w:rPr>
      </w:pPr>
    </w:p>
    <w:p w:rsidR="006B7A1A" w:rsidRDefault="006B7A1A" w:rsidP="006B7A1A">
      <w:pPr>
        <w:rPr>
          <w:sz w:val="24"/>
          <w:szCs w:val="24"/>
        </w:rPr>
      </w:pPr>
      <w:r>
        <w:rPr>
          <w:sz w:val="24"/>
          <w:szCs w:val="24"/>
        </w:rPr>
        <w:t xml:space="preserve">Hoofdstuk 1: dankbaarheid voor de volharding van de gelovigen. </w:t>
      </w:r>
    </w:p>
    <w:p w:rsidR="009E3C87" w:rsidRPr="009E3C87" w:rsidRDefault="006B7A1A" w:rsidP="009E3C87">
      <w:pPr>
        <w:pStyle w:val="Lijstalinea"/>
        <w:numPr>
          <w:ilvl w:val="0"/>
          <w:numId w:val="1"/>
        </w:numPr>
        <w:rPr>
          <w:sz w:val="24"/>
          <w:szCs w:val="24"/>
        </w:rPr>
      </w:pPr>
      <w:r w:rsidRPr="009E3C87">
        <w:rPr>
          <w:sz w:val="24"/>
          <w:szCs w:val="24"/>
        </w:rPr>
        <w:t xml:space="preserve">Menselijke onrechtvaardigheid in het heden. </w:t>
      </w:r>
    </w:p>
    <w:p w:rsidR="006B7A1A" w:rsidRDefault="006B7A1A" w:rsidP="006B7A1A">
      <w:pPr>
        <w:pStyle w:val="Lijstalinea"/>
        <w:numPr>
          <w:ilvl w:val="0"/>
          <w:numId w:val="1"/>
        </w:numPr>
        <w:rPr>
          <w:sz w:val="24"/>
          <w:szCs w:val="24"/>
        </w:rPr>
      </w:pPr>
      <w:r>
        <w:rPr>
          <w:sz w:val="24"/>
          <w:szCs w:val="24"/>
        </w:rPr>
        <w:t xml:space="preserve">Goddelijke rechtvaardigheid in de toekomst. </w:t>
      </w:r>
    </w:p>
    <w:p w:rsidR="006B7A1A" w:rsidRDefault="006B7A1A" w:rsidP="006B7A1A">
      <w:pPr>
        <w:rPr>
          <w:sz w:val="24"/>
          <w:szCs w:val="24"/>
        </w:rPr>
      </w:pPr>
    </w:p>
    <w:p w:rsidR="006B7A1A" w:rsidRDefault="006B7A1A" w:rsidP="006B7A1A">
      <w:pPr>
        <w:rPr>
          <w:sz w:val="24"/>
          <w:szCs w:val="24"/>
        </w:rPr>
      </w:pPr>
      <w:r>
        <w:rPr>
          <w:sz w:val="24"/>
          <w:szCs w:val="24"/>
        </w:rPr>
        <w:t xml:space="preserve">Hoofdstuk 2: </w:t>
      </w:r>
      <w:r w:rsidR="009E3C87">
        <w:rPr>
          <w:sz w:val="24"/>
          <w:szCs w:val="24"/>
        </w:rPr>
        <w:t xml:space="preserve">correctie iv.m. overspannen verwachtingen t.a.v. de tweede komst. </w:t>
      </w:r>
      <w:r>
        <w:rPr>
          <w:sz w:val="24"/>
          <w:szCs w:val="24"/>
        </w:rPr>
        <w:t xml:space="preserve"> </w:t>
      </w:r>
    </w:p>
    <w:p w:rsidR="006B7A1A" w:rsidRDefault="009E3C87" w:rsidP="006B7A1A">
      <w:pPr>
        <w:pStyle w:val="Lijstalinea"/>
        <w:numPr>
          <w:ilvl w:val="0"/>
          <w:numId w:val="1"/>
        </w:numPr>
        <w:rPr>
          <w:sz w:val="24"/>
          <w:szCs w:val="24"/>
        </w:rPr>
      </w:pPr>
      <w:r>
        <w:rPr>
          <w:sz w:val="24"/>
          <w:szCs w:val="24"/>
        </w:rPr>
        <w:t xml:space="preserve">Waarschuwing m.b.t. de komst van de antichrist. </w:t>
      </w:r>
    </w:p>
    <w:p w:rsidR="006B7A1A" w:rsidRDefault="009E3C87" w:rsidP="006B7A1A">
      <w:pPr>
        <w:pStyle w:val="Lijstalinea"/>
        <w:numPr>
          <w:ilvl w:val="0"/>
          <w:numId w:val="1"/>
        </w:numPr>
        <w:rPr>
          <w:sz w:val="24"/>
          <w:szCs w:val="24"/>
        </w:rPr>
      </w:pPr>
      <w:r>
        <w:rPr>
          <w:sz w:val="24"/>
          <w:szCs w:val="24"/>
        </w:rPr>
        <w:t xml:space="preserve">Bemoediging m.b.t. de volharding van de gelovigen. </w:t>
      </w:r>
    </w:p>
    <w:p w:rsidR="009E3C87" w:rsidRDefault="009E3C87" w:rsidP="009E3C87">
      <w:pPr>
        <w:rPr>
          <w:sz w:val="24"/>
          <w:szCs w:val="24"/>
        </w:rPr>
      </w:pPr>
    </w:p>
    <w:p w:rsidR="009E3C87" w:rsidRDefault="009E3C87" w:rsidP="009E3C87">
      <w:pPr>
        <w:rPr>
          <w:sz w:val="24"/>
          <w:szCs w:val="24"/>
        </w:rPr>
      </w:pPr>
      <w:r>
        <w:rPr>
          <w:sz w:val="24"/>
          <w:szCs w:val="24"/>
        </w:rPr>
        <w:t xml:space="preserve">Hoofdstuk 3: onderwijs ten behoeve van hun stabiliteit. </w:t>
      </w:r>
    </w:p>
    <w:p w:rsidR="009E3C87" w:rsidRDefault="00D265FE" w:rsidP="009E3C87">
      <w:pPr>
        <w:pStyle w:val="Lijstalinea"/>
        <w:numPr>
          <w:ilvl w:val="0"/>
          <w:numId w:val="1"/>
        </w:numPr>
        <w:rPr>
          <w:sz w:val="24"/>
          <w:szCs w:val="24"/>
        </w:rPr>
      </w:pPr>
      <w:r>
        <w:rPr>
          <w:sz w:val="24"/>
          <w:szCs w:val="24"/>
        </w:rPr>
        <w:t xml:space="preserve">Aansporing om te blijven volharden. </w:t>
      </w:r>
    </w:p>
    <w:p w:rsidR="00D265FE" w:rsidRPr="009E3C87" w:rsidRDefault="00D265FE" w:rsidP="009E3C87">
      <w:pPr>
        <w:pStyle w:val="Lijstalinea"/>
        <w:numPr>
          <w:ilvl w:val="0"/>
          <w:numId w:val="1"/>
        </w:numPr>
        <w:rPr>
          <w:sz w:val="24"/>
          <w:szCs w:val="24"/>
        </w:rPr>
      </w:pPr>
      <w:r>
        <w:rPr>
          <w:sz w:val="24"/>
          <w:szCs w:val="24"/>
        </w:rPr>
        <w:t xml:space="preserve">Correctie voor instabiele gelovigen. </w:t>
      </w:r>
    </w:p>
    <w:p w:rsidR="009E3C87" w:rsidRPr="006B7A1A" w:rsidRDefault="009E3C87" w:rsidP="006B7A1A">
      <w:pPr>
        <w:rPr>
          <w:sz w:val="24"/>
          <w:szCs w:val="24"/>
        </w:rPr>
      </w:pPr>
    </w:p>
    <w:sectPr w:rsidR="009E3C87" w:rsidRPr="006B7A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5F2" w:rsidRDefault="009775F2" w:rsidP="00D16353">
      <w:r>
        <w:separator/>
      </w:r>
    </w:p>
  </w:endnote>
  <w:endnote w:type="continuationSeparator" w:id="0">
    <w:p w:rsidR="009775F2" w:rsidRDefault="009775F2" w:rsidP="00D1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353" w:rsidRDefault="00D163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5F2" w:rsidRDefault="009775F2" w:rsidP="00D16353">
      <w:r>
        <w:separator/>
      </w:r>
    </w:p>
  </w:footnote>
  <w:footnote w:type="continuationSeparator" w:id="0">
    <w:p w:rsidR="009775F2" w:rsidRDefault="009775F2" w:rsidP="00D16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F1ECA"/>
    <w:multiLevelType w:val="hybridMultilevel"/>
    <w:tmpl w:val="79F67240"/>
    <w:lvl w:ilvl="0" w:tplc="03DE9E68">
      <w:numFmt w:val="bullet"/>
      <w:lvlText w:val=""/>
      <w:lvlJc w:val="left"/>
      <w:pPr>
        <w:ind w:left="1770" w:hanging="360"/>
      </w:pPr>
      <w:rPr>
        <w:rFonts w:ascii="Symbol" w:eastAsia="Times New Roman" w:hAnsi="Symbol"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B8"/>
    <w:rsid w:val="0001154D"/>
    <w:rsid w:val="000753B4"/>
    <w:rsid w:val="00106D72"/>
    <w:rsid w:val="001335D5"/>
    <w:rsid w:val="0019475D"/>
    <w:rsid w:val="00236733"/>
    <w:rsid w:val="00241A15"/>
    <w:rsid w:val="0039185E"/>
    <w:rsid w:val="003D0C2F"/>
    <w:rsid w:val="003D651A"/>
    <w:rsid w:val="003E47D5"/>
    <w:rsid w:val="00423551"/>
    <w:rsid w:val="0051024E"/>
    <w:rsid w:val="005420A6"/>
    <w:rsid w:val="005C48B2"/>
    <w:rsid w:val="00651ABD"/>
    <w:rsid w:val="006962B8"/>
    <w:rsid w:val="006A681E"/>
    <w:rsid w:val="006B7A1A"/>
    <w:rsid w:val="00700C45"/>
    <w:rsid w:val="007675EE"/>
    <w:rsid w:val="008064F4"/>
    <w:rsid w:val="00893B02"/>
    <w:rsid w:val="009243A2"/>
    <w:rsid w:val="009775F2"/>
    <w:rsid w:val="009D5784"/>
    <w:rsid w:val="009D6C6C"/>
    <w:rsid w:val="009E3C87"/>
    <w:rsid w:val="009F07E4"/>
    <w:rsid w:val="009F64A4"/>
    <w:rsid w:val="00A022E2"/>
    <w:rsid w:val="00A11479"/>
    <w:rsid w:val="00AA0F26"/>
    <w:rsid w:val="00AE2CC7"/>
    <w:rsid w:val="00C451A5"/>
    <w:rsid w:val="00C704D9"/>
    <w:rsid w:val="00C70C48"/>
    <w:rsid w:val="00C93559"/>
    <w:rsid w:val="00CB601B"/>
    <w:rsid w:val="00CF3A8B"/>
    <w:rsid w:val="00D16353"/>
    <w:rsid w:val="00D20CAD"/>
    <w:rsid w:val="00D265FE"/>
    <w:rsid w:val="00E02890"/>
    <w:rsid w:val="00E25250"/>
    <w:rsid w:val="00E475D0"/>
    <w:rsid w:val="00E92FD1"/>
    <w:rsid w:val="00EF6526"/>
    <w:rsid w:val="00F03FED"/>
    <w:rsid w:val="00F12027"/>
    <w:rsid w:val="00F62989"/>
    <w:rsid w:val="00F919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92132"/>
  <w15:docId w15:val="{1300AA76-49B7-4295-A212-A6D9D96D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D6C6C"/>
    <w:pPr>
      <w:spacing w:after="0" w:line="240" w:lineRule="auto"/>
    </w:pPr>
    <w:rPr>
      <w:rFonts w:ascii="Arial" w:eastAsia="Times New Roman" w:hAnsi="Arial"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6353"/>
    <w:pPr>
      <w:tabs>
        <w:tab w:val="center" w:pos="4536"/>
        <w:tab w:val="right" w:pos="9072"/>
      </w:tabs>
    </w:pPr>
  </w:style>
  <w:style w:type="character" w:customStyle="1" w:styleId="KoptekstChar">
    <w:name w:val="Koptekst Char"/>
    <w:basedOn w:val="Standaardalinea-lettertype"/>
    <w:link w:val="Koptekst"/>
    <w:uiPriority w:val="99"/>
    <w:rsid w:val="00D16353"/>
    <w:rPr>
      <w:rFonts w:ascii="Arial" w:eastAsia="Times New Roman" w:hAnsi="Arial" w:cs="Times New Roman"/>
      <w:lang w:eastAsia="nl-NL"/>
    </w:rPr>
  </w:style>
  <w:style w:type="paragraph" w:styleId="Voettekst">
    <w:name w:val="footer"/>
    <w:basedOn w:val="Standaard"/>
    <w:link w:val="VoettekstChar"/>
    <w:uiPriority w:val="99"/>
    <w:unhideWhenUsed/>
    <w:rsid w:val="00D16353"/>
    <w:pPr>
      <w:tabs>
        <w:tab w:val="center" w:pos="4536"/>
        <w:tab w:val="right" w:pos="9072"/>
      </w:tabs>
    </w:pPr>
  </w:style>
  <w:style w:type="character" w:customStyle="1" w:styleId="VoettekstChar">
    <w:name w:val="Voettekst Char"/>
    <w:basedOn w:val="Standaardalinea-lettertype"/>
    <w:link w:val="Voettekst"/>
    <w:uiPriority w:val="99"/>
    <w:rsid w:val="00D16353"/>
    <w:rPr>
      <w:rFonts w:ascii="Arial" w:eastAsia="Times New Roman" w:hAnsi="Arial" w:cs="Times New Roman"/>
      <w:lang w:eastAsia="nl-NL"/>
    </w:rPr>
  </w:style>
  <w:style w:type="character" w:styleId="Hyperlink">
    <w:name w:val="Hyperlink"/>
    <w:basedOn w:val="Standaardalinea-lettertype"/>
    <w:uiPriority w:val="99"/>
    <w:unhideWhenUsed/>
    <w:rsid w:val="00AE2CC7"/>
    <w:rPr>
      <w:color w:val="0000FF" w:themeColor="hyperlink"/>
      <w:u w:val="single"/>
    </w:rPr>
  </w:style>
  <w:style w:type="paragraph" w:styleId="Lijstalinea">
    <w:name w:val="List Paragraph"/>
    <w:basedOn w:val="Standaard"/>
    <w:uiPriority w:val="34"/>
    <w:qFormat/>
    <w:rsid w:val="006B7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96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390</Words>
  <Characters>2151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Gitarist-1</dc:creator>
  <cp:lastModifiedBy>Gerrit de Jong</cp:lastModifiedBy>
  <cp:revision>23</cp:revision>
  <dcterms:created xsi:type="dcterms:W3CDTF">2011-11-30T18:26:00Z</dcterms:created>
  <dcterms:modified xsi:type="dcterms:W3CDTF">2015-12-29T18:31:00Z</dcterms:modified>
</cp:coreProperties>
</file>